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719 vom 26. September 2025</w:t>
      </w:r>
    </w:p>
    <w:p>
      <w:r>
        <w:t>BE Verwaltungsgericht, 2025-09-26, DE</w:t>
      </w:r>
    </w:p>
    <w:p>
      <w:r>
        <w:rPr>
          <w:b/>
        </w:rPr>
        <w:t xml:space="preserve">Quelle: </w:t>
      </w:r>
      <w:r>
        <w:t>https://mcp.opencaselaw.ch/entscheid/be_verwaltungsgericht_200 2025 719</w:t>
      </w:r>
    </w:p>
    <w:p>
      <w:r>
        <w:t>FR: BE_VERWALTUNGSGERICHT 200 2025 719 du 26 septembre 2025</w:t>
      </w:r>
    </w:p>
    <w:p>
      <w:r>
        <w:t>IT: BE_VERWALTUNGSGERICHT 200 2025 719 del 26 settembre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26. Sep- tember 2025 (act. II 58 ff.). Streitig und zu prüfen ist die Anrechnung von 10 allgemeinen Wartetagen.</w:t>
      </w:r>
    </w:p>
    <w:p>
      <w:r>
        <w:rPr>
          <w:b/>
        </w:rPr>
        <w:t>E. 1.3</w:t>
      </w:r>
    </w:p>
    <w:p>
      <w:r>
        <w:t>Mit Blick auf die Zahl der Wartetage und den Betrag der ALE (vgl. act. II 183)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Die Parteien haben Anspruch auf rechtliches Gehör (Art. 29 Abs. 2 BV). Das Recht, angehört zu werden, ist formeller Natur. Die Verletzung des Anspruchs auf rechtliches Gehör führt ungeachtet der Erfolgsaussich- ten der Beschwerde in der Sache selbst zur Aufhebung des angefochtenen Entscheids. Es kommt mit anderen Worten nicht darauf an, ob die An- hörung im konkreten Fall für den Ausgang der materiellen Streitentschei- dung von Bedeutung ist, d.h. die Behörde zu einer Änderung ihres Ent- scheides veranlasst wird oder nicht (BGE 127 V 431 E. 3d aa S. 437; SVR 2024 BVG Nr. 34 S. 117, 9C_608/2023 E. 3.2.2). Die Begründungspflicht ist wesentlicher Bestandteil des Anspruchs auf rechtliches Gehör im Sinne von Art. 29 Abs. 2 BV. Sie soll verhindern, dass sich die Behörde von unsachlichen Motiven leiten lässt, und den Betroffe- nen ermöglichen, die Verfügung gegebenenfalls sachgerecht anzufechten.</w:t>
      </w:r>
    </w:p>
    <w:p>
      <w:r>
        <w:t>Urteil des Verwaltungsgerichts des Kantons Bern vom 20. Januar 2026, ALV 200 2025 719 - 5 - Dies ist nur möglich, wenn sowohl die betroffene Person als auch die Rechtsmittelinstanz sich über die Tragweite des Entscheids ein Bild ma- 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150 V 474 E. 4.1 S. 478, 136 I 229 E. 5.2 S. 236, 124 V 180 E. 1a S. 181; SVR 2022 IV Nr. 37 S. 121, 8C_572/2021 E. 5.1). Der Mangel der ungenügenden Begründung eines Entscheides ist heilbar, wenn die beschwerdeführende Partei Gelegenheit erhält, zu den in der Vernehmlassung der unteren In- stanz enthaltenen Motiven in einer Beschwerdeergänzung Stellung zu nehmen und ihr dadurch kein Nachteil erwächst (BGE 107 Ia 1 E. 1 S. 2). 2.2 Soweit die Beschwerdeführerin in formeller Hinsicht vorbringt, in der Einsprachebegründung fehle eine Würdigung des Härtefalls, weshalb der Beschwerdegegner das rechtliche Gehör verletzt habe (Beschwerde S. 1 f. Ziff. 4.1), bzw. geltend macht, der Beschwerdegegner habe sich immer wieder auf formelhafte Aussagen wie "kein Härtefall", "kein Handlungsspiel- raum" beschränkt, ohne sich mit den konkreten Tatsachen auseinanderzu- setzen, weshalb die Begründungspflicht verletzt sei (Eingabe vom 9. De- zember 2025), kann ihr nicht gefolgt werden. Vielmehr führte der Be- schwerdegegner im angefochtenen Einspracheentscheid vom 26. Septem- ber 2025 (act. II 60) die massgebenden Gesetzes- und Verordnungsbe- stimmungen auf, nahm Bezug auf die einschlägige Verwaltungsweisung (AVIG-Praxis ALE, vgl. &lt;https://www.arbeit.swiss&gt;) und äusserte sich zu den Gründen, weshalb die Anrechnung der allgemeinen Wartezeit von 10 Tagen im konkreten Fall zu erfolgen habe. Der Beschwerdeführerin war denn auch eine sachgerechte Anfechtung des Entscheids ohne weiteres möglich (vgl. BGE 136 I 184 E. 2.2.1 S. 188). Nach dem Dargelegten liegt keine Verletzung des rechtlichen Gehörs vor.</w:t>
      </w:r>
    </w:p>
    <w:p>
      <w:r>
        <w:t>Urteil des Verwaltungsgerichts des Kantons Bern vom 20. Januar 2026, ALV 200 2025 719 - 6 - 3. 3.1 Die versicherte Person hat Anspruch auf ALE, wenn sie: a. ganz oder teilweise arbeitslos ist (Art. 10); b. einen anrechenbaren Arbeitsausfall erlitten hat (Art. 11); c. in der Schweiz wohnt (Art. 12); d. die obligatorische Schulzeit zurückgelegt und das Referenzalter nach Art. 21 Abs. 1 des Bundesgesetzes vom 20. Dezember 1946 über die Alters- und Hinterlassenenversicherung (AHVG; SR 831.10) noch nicht erreicht hat; e. die Beitragszeit erfüllt hat oder von der Erfüllung der Beitragszeit befreit ist (Art. 13 und 14); f. vermittlungsfähig ist (Art. 15) und g. die Kontrollvorschriften erfüllt (Art. 17). 3.2 Gemäss Art. 9 AVIG gelten für den Leistungsbezug und für die Bei- tragszeit, sofern dieses Gesetz nichts anderes vorsieht, zweijährige Rah- menfristen (Abs. 1). Die Rahmenfrist für den Leistungsbezug beginnt mit dem ersten Tag, für den sämtliche Anspruchsvoraussetzungen erfüllt sind (Abs. 2). Die Rahmenfrist für die Beitragszeit beginnt zwei Jahre vor die- sem Tag (Abs. 3). Ist die Rahmenfrist für den Leistungsbezug abgelaufen und beansprucht der Versicherte wieder Arbeitslosenentschädigung, so gelten, sofern dieses Gesetz nichts anderes vorsieht, erneut zweijährige Rahmenfristen für den Leistungsbezug und die Beitragszeit (Abs. 4). 3.3 Die ALE wird als Taggeld ausgerichtet (Art. 21 Satz 1 AVIG). Gemäss Art. 22 Abs. 1 AVIG beträgt ein volles Taggeld 80 % des versi- cherten Verdienstes. 3.3.1 Als versicherter Verdienst gilt laut Art. 23 Abs. 1 AVIG der massge- bende Lohn im Sinne von Art. 5 Abs. 2 AHVG i.V.m. Art. 7 der Verordnung vom 31. Oktober 1947 über die Alters- und Hinterlassenenversicherung (AHVV; SR 831.101), der während eines Bemessungszeitraumes aus ei- nem oder mehreren Arbeitsverhältnissen normalerweise erzielt wurde. Dar- in eingeschlossen sind die vertraglich vereinbarten regelmässigen Zulagen (wie 13. Monatslohn, Treueprämien, Dienstaltersgeschenke, Orts- und Teuerungszulagen und Gratifikationen), soweit sie nicht Entschädigung für</w:t>
      </w:r>
    </w:p>
    <w:p>
      <w:r>
        <w:t>Urteil des Verwaltungsgerichts des Kantons Bern vom 20. Januar 2026, ALV 200 2025 719 - 7 - arbeitsbedingte Inkonvenienzen darstellen. Diese Zulagen sind anteilsmäs- sig auf jene Monate anzurechnen, auf die sie sich beziehen, weshalb uner- heblich ist, wann sie (innerhalb des Bemessungszeitraums) zur Auszahlung gelangten. Massgeblich für die Ermittlung des versicherten Verdienstes sind die tatsächlichen Lohnbezüge, nicht die arbeitsvertraglich festgelegten Löhne (BGE 144 V 195 E. 4.1 S. 198 und 4.4 S. 199; ARV 2022 S. 440 E. 2.2, 2020 S. 280 E. 4.1). 3.3.2 Nach Art. 37 Abs. 1 AVIV bemisst sich der versicherte Verdienst nach dem Durchschnittslohn der letzten sechs Beitragsmonate vor Beginn der Rahmenfrist für den Leistungsbezug. Er bemisst sich gemäss Abs. 2 nach dem Durchschnittslohn der letzten zwölf Beitragsmonate vor Beginn der Rahmenfrist für den Leistungsbezug, wenn dieser Durchschnittslohn höher ist als derjenige nach Abs. 1. Bei Lohnschwankungen, die auf einen branchenüblichen Arbeitszeitkalender zurückzuführen sind, bemisst sich der versicherte Verdienst nach Abs. 1 - 3, jedoch höchstens aufgrund der vertraglich vereinbarten jahresdurchschnittlichen Arbeitszeit (Abs. 3bis). 3.3.3 Der Tagesverdienst wird ermittelt, indem der Monatsverdienst durch 21.7 geteilt wird (Art. 40a AVIV). 3.4 Gemäss Art. 18 Abs. 1 AVIG beginnt der Anspruch auf ALE nach einer Wartezeit von fünf Tagen kontrollierter Arbeitslosigkeit. Für Personen ohne Unterhaltspflichten gegenüber Kindern unter 25 Jahren beträgt die Wartezeit: a. 10 Tage bei einem versicherten Verdienst zwischen Fr. 60'001.-- und Fr. 90'000.--. b.</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w:t>
      </w:r>
    </w:p>
    <w:p>
      <w:r>
        <w:t>Urteil des Verwaltungsgerichts des Kantons Bern vom 20. Januar 2026, ALV 200 2025 719 - 4 - 1983 über die obligatorische Arbeitslosenversicherung und die Insolven- zentschädigung [AVIV; SR 837.02]). Da auch die Bestimmungen über Frist (Art. 60 ATSG; vgl. auch prozessleitende Verfügung vom 18. November 2025) sowie Form (Art. 61 lit. b ATSG; Art. 81 Abs. 1 i.V.m. Art. 32 des kan- tonalen Gesetzes vom 23. Mai 1989 über die Verwaltungsrechtspflege [VRPG; BSG 155.21]) eingehalten sind, ist auf die Beschwerde einzutreten.</w:t>
      </w:r>
    </w:p>
    <w:p>
      <w:r>
        <w:rPr>
          <w:b/>
        </w:rPr>
        <w:t>E. 15</w:t>
      </w:r>
    </w:p>
    <w:p>
      <w:r>
        <w:t>Tage bei einem versicherten Verdienst zwischen Fr. 90'001.-- und Fr. 125'000.--; c.</w:t>
      </w:r>
    </w:p>
    <w:p>
      <w:r>
        <w:rPr>
          <w:b/>
        </w:rPr>
        <w:t>E. 20</w:t>
      </w:r>
    </w:p>
    <w:p>
      <w:r>
        <w:t>Tage bei einem versicherten Verdienst über Fr. 125'000.--. Der Bundesrat nimmt zur Vermeidung von Härtefällen bestimmte Versi- chertengruppen von der Wartezeit aus (Art. 18 Abs 1bis AVIG). 3.4.1 Die allgemeine Wartezeit ist in der Rahmenfrist für den Leistungs- bezug nur einmal zu bestehen. Als Wartezeit gelten dabei nur diejenigen Tage, für die die versicherte Person die Anspruchsvoraussetzungen (Art. 8</w:t>
      </w:r>
    </w:p>
    <w:p>
      <w:r>
        <w:t>Urteil des Verwaltungsgerichts des Kantons Bern vom 20. Januar 2026, ALV 200 2025 719 - 8 - Abs. 1 AVIG) erfüllt (Art 6a Abs. 1 AVIV). Versicherte mit einem versicher- ten Verdienst bis Fr. 36'000.-- pro Jahr haben keine allgemeine Wartezeit zu bestehen (Art. 6a Abs. 2 AVIV). Versicherte mit Unterhaltspflichten ge- genüber Kindern unter 25 Jahren und einem versicherten Verdienst zwi- schen Fr. 36'001.-- und Fr. 60'000.-- pro Jahr haben keine allgemeine War- tezeit zu bestehen (Art. 6a Abs. 3 AVIV). 3.4.2 Die Anzahl zu bestehender allgemeine Wartetage richtet sich nach der Höhe des versicherten Verdienstes, welcher aus dem massgebenden Bemessungszeitraum nach Art. 37 AVIV ermittelt wird. Als Wartezeit gelten nur diejenigen Tage, an welchen die versicherte Person die Anspruchsvor- aussetzungen erfüllt (AVIG-Praxis ALE Rz. C108). Personen mit Unter- haltspflichten gegenüber Kindern unter 25 Jahren haben bei einem versi- cherten Verdienst bis und mit Fr. 5'000.-- keine allgemeinen Wartetage zu bestehen; ab einem versicherten Verdienst von Fr. 5'001.-- sind 5 allge- meine Wartetage zu bestehen (AVIG-Praxis ALE Rz. C108a). Die allge- meine Wartezeit muss während der Rahmenfrist für den Leistungsbezug nur einmal bestanden werden. Sie ist wertmässig, d.h. in Form von Taggel- dern, zu tilgen (AVIG-Praxis ALE Rz. C109). 4. 4.1 Es ist erstellt und unbestritten, dass die Beschwerdeführerin die Anspruchsvoraussetzungen für den Bezug von ALE erfüllte (vgl. E. 3.1 hiervor) und die Rahmenfrist für den Leistungsbezug (vgl. E. 3.2 hiervor) im März 2025 begann (act. II 183). Der Beschwerdegegner berechnete so- dann gestützt auf das bei der B.________ GmbH in den letzten sechs Mo- naten erzielte Durchschnittseinkommen (act. II 120, 201 ff.) einen versi- cherten Verdienst von monatlich (gerundet) Fr. 5'796.--, was nicht zu bean- standen ist und von der Beschwerdeführerin auch nicht bestritten wird. Umstritten ist indessen, ob der Beschwerdegegner in der Taggeldabrech- nung von März 2025 zu Recht 10 allgemeine Wartetage angerechnet hat. Die Frage, ob allgemeine Wartetage und gegebenenfalls wie viele zu berücksichtigen sind, hängt von der Höhe des versicherten Verdienstes sowie einer allfälligen Unterhaltspflicht gegenüber Kindern ab (vgl. E. 3.4</w:t>
      </w:r>
    </w:p>
    <w:p>
      <w:r>
        <w:t>Urteil des Verwaltungsgerichts des Kantons Bern vom 20. Januar 2026, ALV 200 2025 719 - 9 - hiervor). Im Antrag auf ALE vom 20. Februar 2025 (act. II 262 Ziff. 11) ver- neinte die Beschwerdeführerin eine Unterhaltspflicht für Kinder bis zum vollendeten 18. Altersjahr, für erwerbsunfähige Kinder bis zum 20. Alters- jahr oder Kinder in Ausbildung bis zum vollendeten 25. Altersjahr. Der Be- schwerdegegner hat in der Folge zu Recht in der Taggeldabrechnung von März 2025 10 allgemeine Wartetage (Art. 18 Abs. 1 lit. a AVIG) berücksich- tigt, liegt doch keine Unterhaltspflicht gegenüber Kindern vor und der versi- cherte Verdienst beträgt jährlich Fr. 69'552.-- (12 x Fr. 5'796.--; vgl. auch AVIG-Praxis ALE Rz. C110). 4.2 Was die Beschwerdeführerin dagegen vorbringt, kann nicht gehört werden. Zwar wird in Art. 18 Abs. 3 AVIG erwähnt, dass der Bundesrat zur Vermeidung von Härtefällen bestimmte Versichertengruppen von der War- tezeit ausnimmt. Die Ausnahmen werden in Art. 6a Abs. 2 und 3 AVIV ab- schliessend genannt (vgl. E. 3.4.1 hiervor). Die Beschwerdeführerin erfüllt keine der Voraussetzungen für einen solchen Härtefall, da sie einen versi- cherten Verdienst von mehr als Fr. 36'000.-- pro Jahr aufweist und keine Unterhaltspflichten gegenüber Kindern unter 25 Jahren wahrzunehmen hat. Die Beschwerdeführerin verkennt, dass die in der Beschwerde (S. 2 Ziff. 5) und der Eingabe vom 9. Dezember 2025 (S. 2 f. Ziff. 3 f.) angeführten Um- stände – Krankschreibung, Kündigung wegen "Bossing", psychische Notla- ge, wirtschaftliche Gründe (Einkommenslücke), fehlende Interessenabwä- gung – keinen Härtefall zu begründen vermögen, denn die genannten Um- stände sind in den vorerwähnten Verordnungsbestimmungen nicht als Här- tefall vorgesehen und daher für die Festsetzung der allgemeinen Wartezeit nicht massgebend. Entgegen der Meinung der Beschwerdeführerin (Eingabe vom 9. Dezember 2025 S. 3 f. Ziff. 5. 2 f.) liegt seitens des Beschwerdegegners kein Verstoss gegen die Abklärungspflicht vor, da der Sachverhalt bezüglich Unterhalts- pflicht und Höhe des versicherten Verdienstes rechtsgenüglich abgeklärt wurde und die von der Beschwerdeführerin angeführten Umstände nicht relevant sind. Der Vorwurf des Ermessensmissbrauchs geht ebenfalls ins Leere, besteht doch bezüglich der Festsetzung der allgemeinen Wartezei- ten kein Ermessen der Verwaltung.</w:t>
      </w:r>
    </w:p>
    <w:p>
      <w:r>
        <w:t>Urteil des Verwaltungsgerichts des Kantons Bern vom 20. Januar 2026, ALV 200 2025 719 - 10 - 4.3 Nach dem Dargelegten hat der Beschwerdegegner die allgemeine Wartezeit von 10 Tagen korrekt festgelegt. Der angefochtene Einspra- cheentscheid vom 26. September 2025 (act. II 58 ff.) ist daher nicht zu be- anstanden und die Beschwerde ist abzuweisen. 5. 5.1 In Anwendung von Art. 1 Abs. 1 AVIG i.V.m. Art. 61 lit. fbis ATSG (Umkehrschluss; vgl. auch BBl 2018 1639) sind keine Verfahrenskosten zu erheben. 5.2 Bei diesem Ausgang des Verfahrens besteht kein Anspruch auf eine Parteientschädigung (Umkehrschluss aus Art. 1 Abs. 1 AVIG i.V.m. Art. 61 lit. g ATSG). Demnach entscheidet der Einzelrichter: 1. Die Beschwerde wird abgewiesen. 2. Es werden weder Verfahrenskosten erhoben noch wird eine Parteien- tschädigung zugesprochen. 3. Zu eröffnen (R): - A.________ - Amt für Arbeitslosenversicherung des Kantons Bern, Recht und Dienste - Staatssekretariat für Wirtschaft – SECO Der Einzelrichter: Die Gerichtsschreiberin:</w:t>
      </w:r>
    </w:p>
    <w:p>
      <w:r>
        <w:t>Urteil des Verwaltungsgerichts des Kantons Bern vom 20. Januar 2026, ALV 200 2025 719 - 11 -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